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eastAsia="华文中宋"/>
          <w:b/>
          <w:bCs/>
          <w:sz w:val="44"/>
        </w:rPr>
      </w:pPr>
      <w:bookmarkStart w:id="0" w:name="_GoBack"/>
      <w:bookmarkEnd w:id="0"/>
      <w:r>
        <w:rPr>
          <w:rFonts w:hint="eastAsia" w:eastAsia="华文中宋"/>
          <w:b/>
          <w:bCs/>
          <w:sz w:val="44"/>
        </w:rPr>
        <w:t>中国教育发展战略学会课题成果鉴定评估指标及赋分标准</w:t>
      </w:r>
    </w:p>
    <w:p>
      <w:pPr>
        <w:spacing w:line="14" w:lineRule="exact"/>
        <w:rPr>
          <w:sz w:val="28"/>
        </w:rPr>
      </w:pPr>
    </w:p>
    <w:tbl>
      <w:tblPr>
        <w:tblStyle w:val="3"/>
        <w:tblpPr w:leftFromText="180" w:rightFromText="180" w:vertAnchor="text" w:horzAnchor="margin" w:tblpY="309"/>
        <w:tblOverlap w:val="never"/>
        <w:tblW w:w="5018" w:type="pct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962"/>
        <w:gridCol w:w="405"/>
        <w:gridCol w:w="3291"/>
        <w:gridCol w:w="4007"/>
        <w:gridCol w:w="3644"/>
        <w:gridCol w:w="2463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华文中宋"/>
                <w:b/>
                <w:bCs/>
                <w:sz w:val="36"/>
                <w:szCs w:val="20"/>
              </w:rPr>
            </w:pPr>
            <w:r>
              <w:rPr>
                <w:rFonts w:ascii="Times New Roman" w:hAnsi="Times New Roman" w:eastAsia="华文中宋"/>
                <w:b/>
                <w:bCs/>
                <w:sz w:val="32"/>
                <w:szCs w:val="32"/>
              </w:rPr>
              <w:t>（满分为</w:t>
            </w:r>
            <w:r>
              <w:rPr>
                <w:rFonts w:hint="eastAsia" w:ascii="Times New Roman" w:hAnsi="Times New Roman" w:eastAsia="华文中宋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eastAsia="华文中宋"/>
                <w:b/>
                <w:bCs/>
                <w:sz w:val="32"/>
                <w:szCs w:val="32"/>
              </w:rPr>
              <w:t>00分，以整数打分）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464" w:type="pct"/>
            <w:gridSpan w:val="2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指标</w:t>
            </w:r>
          </w:p>
        </w:tc>
        <w:tc>
          <w:tcPr>
            <w:tcW w:w="133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分数</w:t>
            </w: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优秀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良好</w:t>
            </w:r>
          </w:p>
        </w:tc>
        <w:tc>
          <w:tcPr>
            <w:tcW w:w="1197" w:type="pct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合格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不合格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</w:trPr>
        <w:tc>
          <w:tcPr>
            <w:tcW w:w="148" w:type="pct"/>
            <w:vMerge w:val="restart"/>
            <w:tcBorders>
              <w:top w:val="outset" w:color="111111" w:sz="6" w:space="0"/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hint="eastAsia" w:ascii="Times New Roman" w:hAnsi="Times New Roman" w:eastAsia="黑体"/>
                <w:b/>
                <w:bCs/>
              </w:rPr>
              <w:t>性</w:t>
            </w:r>
          </w:p>
        </w:tc>
        <w:tc>
          <w:tcPr>
            <w:tcW w:w="316" w:type="pct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黑体"/>
                <w:sz w:val="21"/>
              </w:rPr>
            </w:pPr>
            <w:r>
              <w:rPr>
                <w:rFonts w:ascii="Times New Roman" w:hAnsi="Times New Roman" w:eastAsia="黑体"/>
                <w:sz w:val="21"/>
                <w:szCs w:val="20"/>
              </w:rPr>
              <w:t>理论、方法创新</w:t>
            </w:r>
          </w:p>
        </w:tc>
        <w:tc>
          <w:tcPr>
            <w:tcW w:w="133" w:type="pct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满分35</w:t>
            </w: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在理论或方法上有所创新</w:t>
            </w:r>
          </w:p>
          <w:p>
            <w:pPr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在理论或方法上有一定创新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adjustRightInd w:val="0"/>
              <w:spacing w:after="0" w:line="240" w:lineRule="exact"/>
              <w:jc w:val="both"/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运用既有理论或方法但在研究深度上有进展，结论具有一定启发性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理论或方法新意不大，研究不深入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</w:trPr>
        <w:tc>
          <w:tcPr>
            <w:tcW w:w="148" w:type="pct"/>
            <w:vMerge w:val="continue"/>
            <w:tcBorders>
              <w:left w:val="single" w:color="auto" w:sz="12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Times New Roman" w:hAnsi="Times New Roman" w:eastAsia="黑体"/>
                <w:b/>
                <w:bCs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1"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35-31分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30-25分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sz w:val="24"/>
                <w:szCs w:val="20"/>
              </w:rPr>
              <w:t>24-20分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19-1分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48" w:type="pct"/>
            <w:vMerge w:val="restart"/>
            <w:tcBorders>
              <w:top w:val="single" w:color="auto" w:sz="8" w:space="0"/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性</w:t>
            </w:r>
          </w:p>
        </w:tc>
        <w:tc>
          <w:tcPr>
            <w:tcW w:w="316" w:type="pct"/>
            <w:vMerge w:val="restar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Cs w:val="20"/>
              </w:rPr>
              <w:t>可靠性</w:t>
            </w:r>
          </w:p>
        </w:tc>
        <w:tc>
          <w:tcPr>
            <w:tcW w:w="133" w:type="pct"/>
            <w:vMerge w:val="restart"/>
            <w:tcBorders>
              <w:top w:val="single" w:color="auto" w:sz="8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满分10</w:t>
            </w:r>
          </w:p>
        </w:tc>
        <w:tc>
          <w:tcPr>
            <w:tcW w:w="1081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理论前提科学，资料准确充实，研究方法适当</w:t>
            </w:r>
          </w:p>
        </w:tc>
        <w:tc>
          <w:tcPr>
            <w:tcW w:w="131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理论前提较科学，资料较充实，研究方法较得当</w:t>
            </w:r>
          </w:p>
        </w:tc>
        <w:tc>
          <w:tcPr>
            <w:tcW w:w="1197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hint="eastAsia"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理论前提、资料和研究方法基本得当</w:t>
            </w:r>
          </w:p>
        </w:tc>
        <w:tc>
          <w:tcPr>
            <w:tcW w:w="80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理论前提、资料、研究方法等方面有严重欠缺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48" w:type="pct"/>
            <w:vMerge w:val="continue"/>
            <w:tcBorders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kern w:val="2"/>
                <w:sz w:val="21"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10-9分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8-7分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6-5分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4-1分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148" w:type="pct"/>
            <w:vMerge w:val="continue"/>
            <w:tcBorders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szCs w:val="20"/>
              </w:rPr>
              <w:t>严谨性</w:t>
            </w:r>
          </w:p>
        </w:tc>
        <w:tc>
          <w:tcPr>
            <w:tcW w:w="133" w:type="pct"/>
            <w:vMerge w:val="restart"/>
            <w:tcBorders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满分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15</w:t>
            </w: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概念明确，论证严谨，逻辑清晰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概念较明确，论证较严谨，逻辑较清晰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概念基本明确，论证基本合理，条理基本清晰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概念不明，逻辑混乱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exact"/>
        </w:trPr>
        <w:tc>
          <w:tcPr>
            <w:tcW w:w="148" w:type="pct"/>
            <w:vMerge w:val="continue"/>
            <w:tcBorders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tcBorders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 w:val="21"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15-13分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12-10分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9-7分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6-1分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</w:trPr>
        <w:tc>
          <w:tcPr>
            <w:tcW w:w="148" w:type="pct"/>
            <w:vMerge w:val="continue"/>
            <w:tcBorders>
              <w:left w:val="single" w:color="auto" w:sz="12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Cs w:val="20"/>
              </w:rPr>
              <w:t>规范性</w:t>
            </w:r>
          </w:p>
        </w:tc>
        <w:tc>
          <w:tcPr>
            <w:tcW w:w="133" w:type="pct"/>
            <w:vMerge w:val="restart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满分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5</w:t>
            </w:r>
          </w:p>
        </w:tc>
        <w:tc>
          <w:tcPr>
            <w:tcW w:w="1081" w:type="pct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引证规范，引用资料、观点清楚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引证较规范，引用资料、观点较清楚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引证基本规范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引证不规范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48" w:type="pct"/>
            <w:vMerge w:val="continue"/>
            <w:tcBorders>
              <w:left w:val="single" w:color="auto" w:sz="12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5分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4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-3分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2分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</w:trPr>
        <w:tc>
          <w:tcPr>
            <w:tcW w:w="148" w:type="pct"/>
            <w:vMerge w:val="restart"/>
            <w:tcBorders>
              <w:top w:val="single" w:color="auto" w:sz="8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度</w:t>
            </w:r>
          </w:p>
        </w:tc>
        <w:tc>
          <w:tcPr>
            <w:tcW w:w="316" w:type="pct"/>
            <w:vMerge w:val="restart"/>
            <w:tcBorders>
              <w:top w:val="single" w:color="auto" w:sz="8" w:space="0"/>
              <w:left w:val="single" w:color="auto" w:sz="8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黑体"/>
                <w:sz w:val="21"/>
              </w:rPr>
            </w:pPr>
            <w:r>
              <w:rPr>
                <w:rFonts w:ascii="Times New Roman" w:hAnsi="Times New Roman" w:eastAsia="黑体"/>
                <w:sz w:val="21"/>
                <w:szCs w:val="20"/>
              </w:rPr>
              <w:t>研究难度</w:t>
            </w:r>
          </w:p>
        </w:tc>
        <w:tc>
          <w:tcPr>
            <w:tcW w:w="133" w:type="pct"/>
            <w:vMerge w:val="restart"/>
            <w:tcBorders>
              <w:top w:val="single" w:color="auto" w:sz="8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Cs w:val="20"/>
                <w:lang w:val="en-US" w:eastAsia="zh-CN"/>
              </w:rPr>
              <w:t>满分</w:t>
            </w:r>
            <w:r>
              <w:rPr>
                <w:rFonts w:ascii="Times New Roman" w:hAnsi="Times New Roman" w:eastAsia="黑体"/>
                <w:b/>
                <w:bCs/>
                <w:szCs w:val="20"/>
              </w:rPr>
              <w:t>10</w:t>
            </w:r>
          </w:p>
        </w:tc>
        <w:tc>
          <w:tcPr>
            <w:tcW w:w="1081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问题复杂，难度大</w:t>
            </w:r>
          </w:p>
        </w:tc>
        <w:tc>
          <w:tcPr>
            <w:tcW w:w="131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问题较复杂，难度较大</w:t>
            </w:r>
          </w:p>
        </w:tc>
        <w:tc>
          <w:tcPr>
            <w:tcW w:w="1197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问题复杂性一般，难度一般</w:t>
            </w:r>
          </w:p>
        </w:tc>
        <w:tc>
          <w:tcPr>
            <w:tcW w:w="80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问题不复杂，难度不大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exact"/>
        </w:trPr>
        <w:tc>
          <w:tcPr>
            <w:tcW w:w="148" w:type="pct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single" w:color="auto" w:sz="8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10-9分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8-7分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6-5分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4-1分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148" w:type="pct"/>
            <w:vMerge w:val="continue"/>
            <w:tcBorders>
              <w:top w:val="outset" w:color="111111" w:sz="6" w:space="0"/>
              <w:left w:val="single" w:color="auto" w:sz="12" w:space="0"/>
              <w:bottom w:val="outset" w:color="111111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outset" w:color="111111" w:sz="6" w:space="0"/>
              <w:left w:val="single" w:color="auto" w:sz="8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szCs w:val="20"/>
              </w:rPr>
              <w:t>资料搜集</w:t>
            </w:r>
          </w:p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Cs w:val="20"/>
              </w:rPr>
              <w:t>处理难度</w:t>
            </w:r>
          </w:p>
        </w:tc>
        <w:tc>
          <w:tcPr>
            <w:tcW w:w="133" w:type="pct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Cs w:val="20"/>
                <w:lang w:val="en-US" w:eastAsia="zh-CN"/>
              </w:rPr>
              <w:t>满分</w:t>
            </w:r>
            <w:r>
              <w:rPr>
                <w:rFonts w:ascii="Times New Roman" w:hAnsi="Times New Roman" w:eastAsia="黑体"/>
                <w:b/>
                <w:bCs/>
                <w:szCs w:val="20"/>
              </w:rPr>
              <w:t>10</w:t>
            </w: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资料的搜集与处理难度很大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资料的搜集与处理难度较大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资料的搜集与处理难度不大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资料搜集与处理难度很小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exact"/>
        </w:trPr>
        <w:tc>
          <w:tcPr>
            <w:tcW w:w="148" w:type="pct"/>
            <w:vMerge w:val="continue"/>
            <w:tcBorders>
              <w:top w:val="outset" w:color="111111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b/>
                <w:bCs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single" w:color="auto" w:sz="8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bottom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10-9分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bottom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8-7分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bottom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6-5分</w:t>
            </w:r>
          </w:p>
        </w:tc>
        <w:tc>
          <w:tcPr>
            <w:tcW w:w="80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single" w:color="auto" w:sz="12" w:space="0"/>
            </w:tcBorders>
            <w:vAlign w:val="bottom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4-1分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exact"/>
        </w:trPr>
        <w:tc>
          <w:tcPr>
            <w:tcW w:w="148" w:type="pct"/>
            <w:vMerge w:val="restart"/>
            <w:tcBorders>
              <w:top w:val="single" w:color="auto" w:sz="8" w:space="0"/>
              <w:left w:val="single" w:color="auto" w:sz="12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黑体"/>
                <w:b/>
                <w:bCs/>
              </w:rPr>
              <w:t>果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黑体"/>
                <w:b/>
                <w:bCs/>
              </w:rPr>
            </w:pPr>
          </w:p>
        </w:tc>
        <w:tc>
          <w:tcPr>
            <w:tcW w:w="316" w:type="pct"/>
            <w:vMerge w:val="restar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szCs w:val="20"/>
              </w:rPr>
              <w:t>学术价值</w:t>
            </w:r>
          </w:p>
          <w:p>
            <w:pPr>
              <w:spacing w:line="240" w:lineRule="exact"/>
              <w:jc w:val="both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Cs w:val="20"/>
              </w:rPr>
              <w:t>应用价值</w:t>
            </w:r>
          </w:p>
        </w:tc>
        <w:tc>
          <w:tcPr>
            <w:tcW w:w="133" w:type="pct"/>
            <w:vMerge w:val="restart"/>
            <w:tcBorders>
              <w:top w:val="single" w:color="auto" w:sz="8" w:space="0"/>
              <w:left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Cs w:val="20"/>
                <w:lang w:val="en-US" w:eastAsia="zh-CN"/>
              </w:rPr>
              <w:t>满分</w:t>
            </w:r>
            <w:r>
              <w:rPr>
                <w:rFonts w:ascii="Times New Roman" w:hAnsi="Times New Roman" w:eastAsia="黑体"/>
                <w:b/>
                <w:bCs/>
                <w:szCs w:val="20"/>
              </w:rPr>
              <w:t>15</w:t>
            </w:r>
          </w:p>
        </w:tc>
        <w:tc>
          <w:tcPr>
            <w:tcW w:w="1081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学术或应用价值大</w:t>
            </w:r>
          </w:p>
        </w:tc>
        <w:tc>
          <w:tcPr>
            <w:tcW w:w="131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学术或应用价值较大</w:t>
            </w:r>
          </w:p>
        </w:tc>
        <w:tc>
          <w:tcPr>
            <w:tcW w:w="1197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有一定学术或应用价值</w:t>
            </w:r>
          </w:p>
        </w:tc>
        <w:tc>
          <w:tcPr>
            <w:tcW w:w="806" w:type="pct"/>
            <w:tcBorders>
              <w:top w:val="single" w:color="auto" w:sz="8" w:space="0"/>
              <w:left w:val="outset" w:color="111111" w:sz="6" w:space="0"/>
              <w:bottom w:val="outset" w:color="111111" w:sz="6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学术或应用价值不大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exact"/>
        </w:trPr>
        <w:tc>
          <w:tcPr>
            <w:tcW w:w="148" w:type="pct"/>
            <w:vMerge w:val="continue"/>
            <w:tcBorders>
              <w:top w:val="outset" w:color="111111" w:sz="6" w:space="0"/>
              <w:left w:val="single" w:color="auto" w:sz="12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6" w:type="pct"/>
            <w:vMerge w:val="continue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3" w:type="pct"/>
            <w:vMerge w:val="continue"/>
            <w:tcBorders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1081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15-13分</w:t>
            </w:r>
          </w:p>
        </w:tc>
        <w:tc>
          <w:tcPr>
            <w:tcW w:w="1316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12-10分</w:t>
            </w:r>
          </w:p>
        </w:tc>
        <w:tc>
          <w:tcPr>
            <w:tcW w:w="1197" w:type="pct"/>
            <w:tcBorders>
              <w:top w:val="outset" w:color="111111" w:sz="6" w:space="0"/>
              <w:left w:val="outset" w:color="111111" w:sz="6" w:space="0"/>
              <w:bottom w:val="single" w:color="auto" w:sz="8" w:space="0"/>
              <w:right w:val="outset" w:color="111111" w:sz="6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9-7分</w:t>
            </w:r>
          </w:p>
        </w:tc>
        <w:tc>
          <w:tcPr>
            <w:tcW w:w="806" w:type="pct"/>
            <w:tcBorders>
              <w:top w:val="single" w:color="auto" w:sz="8" w:space="0"/>
              <w:left w:val="outset" w:color="111111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0" w:line="240" w:lineRule="exact"/>
              <w:ind w:left="57"/>
              <w:jc w:val="center"/>
              <w:rPr>
                <w:rFonts w:ascii="Times New Roman" w:hAnsi="Times New Roman" w:eastAsia="黑体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6-1分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597" w:type="pct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outset" w:color="111111" w:sz="6" w:space="0"/>
            </w:tcBorders>
            <w:shd w:val="clear" w:color="auto" w:fill="D9E2F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bCs/>
                <w:szCs w:val="20"/>
              </w:rPr>
            </w:pPr>
            <w:r>
              <w:rPr>
                <w:rFonts w:ascii="Times New Roman" w:hAnsi="Times New Roman" w:eastAsia="黑体"/>
                <w:b/>
                <w:bCs/>
                <w:szCs w:val="20"/>
              </w:rPr>
              <w:t>等级总分标准</w:t>
            </w:r>
          </w:p>
        </w:tc>
        <w:tc>
          <w:tcPr>
            <w:tcW w:w="4402" w:type="pct"/>
            <w:gridSpan w:val="4"/>
            <w:tcBorders>
              <w:top w:val="single" w:color="auto" w:sz="8" w:space="0"/>
              <w:left w:val="outset" w:color="111111" w:sz="6" w:space="0"/>
              <w:bottom w:val="single" w:color="auto" w:sz="4" w:space="0"/>
              <w:right w:val="single" w:color="auto" w:sz="12" w:space="0"/>
            </w:tcBorders>
            <w:shd w:val="clear" w:color="auto" w:fill="D9E2F3"/>
            <w:vAlign w:val="center"/>
          </w:tcPr>
          <w:p>
            <w:pPr>
              <w:spacing w:after="0" w:line="240" w:lineRule="exact"/>
              <w:ind w:left="57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总分9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0分以上为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优秀，8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9-76分为良好，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7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5-60分为合格，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</w:rPr>
              <w:t>6</w:t>
            </w:r>
            <w:r>
              <w:rPr>
                <w:rFonts w:ascii="Times New Roman" w:hAnsi="Times New Roman" w:eastAsia="黑体"/>
                <w:b/>
                <w:bCs/>
                <w:sz w:val="24"/>
                <w:szCs w:val="20"/>
              </w:rPr>
              <w:t>0分以下为不合格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12" w:lineRule="exact"/>
        <w:ind w:firstLine="211" w:firstLineChars="100"/>
        <w:textAlignment w:val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eastAsia="黑体"/>
          <w:b/>
          <w:bCs/>
          <w:sz w:val="21"/>
          <w:szCs w:val="21"/>
        </w:rPr>
        <w:t>补充说明： 1.</w:t>
      </w:r>
      <w:r>
        <w:rPr>
          <w:rFonts w:ascii="Times New Roman" w:hAnsi="Times New Roman"/>
          <w:b/>
          <w:bCs/>
          <w:sz w:val="21"/>
          <w:szCs w:val="21"/>
        </w:rPr>
        <w:t xml:space="preserve"> 鉴定评价应认真负责、客观公正、实事求是。</w:t>
      </w:r>
    </w:p>
    <w:p>
      <w:pPr>
        <w:spacing w:line="280" w:lineRule="exact"/>
      </w:pPr>
      <w:r>
        <w:rPr>
          <w:rFonts w:ascii="Times New Roman" w:hAnsi="Times New Roman"/>
          <w:b/>
          <w:bCs/>
          <w:sz w:val="18"/>
        </w:rPr>
        <w:t xml:space="preserve">               </w:t>
      </w:r>
      <w:r>
        <w:rPr>
          <w:rFonts w:ascii="Times New Roman" w:hAnsi="Times New Roman"/>
          <w:b/>
          <w:bCs/>
          <w:sz w:val="21"/>
          <w:szCs w:val="21"/>
        </w:rPr>
        <w:t>2. 对存在政治导向上的错误，或有学术剽窃行为的研究成果实行一票否决（须说明理由）</w:t>
      </w:r>
    </w:p>
    <w:sectPr>
      <w:pgSz w:w="16838" w:h="11906" w:orient="landscape"/>
      <w:pgMar w:top="510" w:right="850" w:bottom="510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Y2FlYzVlNmE0Nzg0ZTQzYzc1ZjdlNDNiZGYzMWYifQ=="/>
  </w:docVars>
  <w:rsids>
    <w:rsidRoot w:val="006139C9"/>
    <w:rsid w:val="00044B57"/>
    <w:rsid w:val="00046585"/>
    <w:rsid w:val="00063337"/>
    <w:rsid w:val="000C1BF2"/>
    <w:rsid w:val="000C326B"/>
    <w:rsid w:val="000D52A9"/>
    <w:rsid w:val="000E2C57"/>
    <w:rsid w:val="000F1824"/>
    <w:rsid w:val="001032B4"/>
    <w:rsid w:val="00127520"/>
    <w:rsid w:val="00130EAF"/>
    <w:rsid w:val="00131CF1"/>
    <w:rsid w:val="00156662"/>
    <w:rsid w:val="001C545C"/>
    <w:rsid w:val="001E35DD"/>
    <w:rsid w:val="00206C4F"/>
    <w:rsid w:val="002075AF"/>
    <w:rsid w:val="00233835"/>
    <w:rsid w:val="00253162"/>
    <w:rsid w:val="0027022B"/>
    <w:rsid w:val="00274A0B"/>
    <w:rsid w:val="002876B6"/>
    <w:rsid w:val="002C3C89"/>
    <w:rsid w:val="002C5A76"/>
    <w:rsid w:val="002C6EAD"/>
    <w:rsid w:val="003256BF"/>
    <w:rsid w:val="00334070"/>
    <w:rsid w:val="00336826"/>
    <w:rsid w:val="003B7B4A"/>
    <w:rsid w:val="003E54E5"/>
    <w:rsid w:val="003F0398"/>
    <w:rsid w:val="004158F5"/>
    <w:rsid w:val="00416680"/>
    <w:rsid w:val="004456A8"/>
    <w:rsid w:val="00476BD2"/>
    <w:rsid w:val="00480BE4"/>
    <w:rsid w:val="004930F3"/>
    <w:rsid w:val="004C0581"/>
    <w:rsid w:val="004F4062"/>
    <w:rsid w:val="00554B6D"/>
    <w:rsid w:val="005619E8"/>
    <w:rsid w:val="00587814"/>
    <w:rsid w:val="005D2A30"/>
    <w:rsid w:val="005D6544"/>
    <w:rsid w:val="006139C9"/>
    <w:rsid w:val="00642151"/>
    <w:rsid w:val="00642B1C"/>
    <w:rsid w:val="006773AD"/>
    <w:rsid w:val="006B56E3"/>
    <w:rsid w:val="006B724F"/>
    <w:rsid w:val="006B7B1A"/>
    <w:rsid w:val="006D1DDF"/>
    <w:rsid w:val="006F079E"/>
    <w:rsid w:val="006F0AB5"/>
    <w:rsid w:val="00711F1B"/>
    <w:rsid w:val="007259A1"/>
    <w:rsid w:val="007654AA"/>
    <w:rsid w:val="007A23F1"/>
    <w:rsid w:val="007C158B"/>
    <w:rsid w:val="00827532"/>
    <w:rsid w:val="00847938"/>
    <w:rsid w:val="00856EF1"/>
    <w:rsid w:val="00876306"/>
    <w:rsid w:val="00896154"/>
    <w:rsid w:val="008B4E8C"/>
    <w:rsid w:val="008B6201"/>
    <w:rsid w:val="008E1FB2"/>
    <w:rsid w:val="00904162"/>
    <w:rsid w:val="009B198F"/>
    <w:rsid w:val="009C2F32"/>
    <w:rsid w:val="009D3A43"/>
    <w:rsid w:val="009E41BB"/>
    <w:rsid w:val="009E7849"/>
    <w:rsid w:val="009F6B0C"/>
    <w:rsid w:val="00A1602D"/>
    <w:rsid w:val="00A3224C"/>
    <w:rsid w:val="00A43FF1"/>
    <w:rsid w:val="00AE0113"/>
    <w:rsid w:val="00B009CE"/>
    <w:rsid w:val="00B22DE0"/>
    <w:rsid w:val="00B2552C"/>
    <w:rsid w:val="00B45C9F"/>
    <w:rsid w:val="00C108D4"/>
    <w:rsid w:val="00C15A60"/>
    <w:rsid w:val="00C16707"/>
    <w:rsid w:val="00C225C8"/>
    <w:rsid w:val="00C634D8"/>
    <w:rsid w:val="00C76040"/>
    <w:rsid w:val="00C81061"/>
    <w:rsid w:val="00C94756"/>
    <w:rsid w:val="00CA5325"/>
    <w:rsid w:val="00CC1BEC"/>
    <w:rsid w:val="00CF15BB"/>
    <w:rsid w:val="00CF4080"/>
    <w:rsid w:val="00CF57DF"/>
    <w:rsid w:val="00D12E81"/>
    <w:rsid w:val="00D27343"/>
    <w:rsid w:val="00D37C83"/>
    <w:rsid w:val="00D44E30"/>
    <w:rsid w:val="00D90883"/>
    <w:rsid w:val="00DF19F8"/>
    <w:rsid w:val="00E24136"/>
    <w:rsid w:val="00E52EFD"/>
    <w:rsid w:val="00E83EE6"/>
    <w:rsid w:val="00EA5620"/>
    <w:rsid w:val="00EA6C65"/>
    <w:rsid w:val="00F109B6"/>
    <w:rsid w:val="00F66FB1"/>
    <w:rsid w:val="00FA7C87"/>
    <w:rsid w:val="00FB78EA"/>
    <w:rsid w:val="00FC7A58"/>
    <w:rsid w:val="00FE2301"/>
    <w:rsid w:val="00FF0FD1"/>
    <w:rsid w:val="01981D96"/>
    <w:rsid w:val="0AC534D0"/>
    <w:rsid w:val="1A89451A"/>
    <w:rsid w:val="234436D4"/>
    <w:rsid w:val="23FA0237"/>
    <w:rsid w:val="25441769"/>
    <w:rsid w:val="263C0693"/>
    <w:rsid w:val="2A1B1F7F"/>
    <w:rsid w:val="30601689"/>
    <w:rsid w:val="38BE7523"/>
    <w:rsid w:val="423F5784"/>
    <w:rsid w:val="445B21D4"/>
    <w:rsid w:val="456652D4"/>
    <w:rsid w:val="5D192F00"/>
    <w:rsid w:val="63D42FAD"/>
    <w:rsid w:val="69D81A4D"/>
    <w:rsid w:val="6F80020F"/>
    <w:rsid w:val="74556BF0"/>
    <w:rsid w:val="7657143C"/>
    <w:rsid w:val="7C484810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Lines>6</Lines>
  <Paragraphs>1</Paragraphs>
  <TotalTime>14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2023-12-14T13:17:00Z</dcterms:created>
  <dc:creator>Windows 用户</dc:creator>
  <cp:lastModifiedBy>丽娟</cp:lastModifiedBy>
  <dcterms:modified xsi:type="dcterms:W3CDTF">2023-12-15T06:01:14Z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1E2E94FDF4F04A28ADCAF456DB982CAE_12</vt:lpwstr>
  </property>
</Properties>
</file>